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F19AB" w14:textId="77777777" w:rsidR="00A56356" w:rsidRDefault="00A56356" w:rsidP="00CA25D8"/>
    <w:p w14:paraId="0F66930F" w14:textId="0252BF3C" w:rsidR="009348DD" w:rsidRDefault="009348DD" w:rsidP="00CA25D8">
      <w:r>
        <w:t xml:space="preserve">Extrait Revue Fiduciaire RF PAYE </w:t>
      </w:r>
    </w:p>
    <w:p w14:paraId="63651615" w14:textId="4F2D140A" w:rsidR="00CA25D8" w:rsidRPr="00CA25D8" w:rsidRDefault="00CA25D8" w:rsidP="00CA25D8">
      <w:r w:rsidRPr="00CA25D8">
        <w:t xml:space="preserve">Date de </w:t>
      </w:r>
      <w:proofErr w:type="gramStart"/>
      <w:r w:rsidRPr="00CA25D8">
        <w:t>parution:</w:t>
      </w:r>
      <w:proofErr w:type="gramEnd"/>
      <w:r w:rsidRPr="00CA25D8">
        <w:t xml:space="preserve"> 02/2025</w:t>
      </w:r>
    </w:p>
    <w:p w14:paraId="380CFC45" w14:textId="77777777" w:rsidR="00CA25D8" w:rsidRPr="00CA25D8" w:rsidRDefault="00CA25D8" w:rsidP="00CA25D8">
      <w:pPr>
        <w:rPr>
          <w:b/>
          <w:bCs/>
        </w:rPr>
      </w:pPr>
      <w:r w:rsidRPr="00CA25D8">
        <w:rPr>
          <w:b/>
          <w:bCs/>
        </w:rPr>
        <w:t>L’accident de trajet</w:t>
      </w:r>
    </w:p>
    <w:p w14:paraId="6536B855" w14:textId="77777777" w:rsidR="00CA25D8" w:rsidRPr="00CA25D8" w:rsidRDefault="00CA25D8" w:rsidP="00CA25D8">
      <w:r w:rsidRPr="00CA25D8">
        <w:t>L'accident de trajet rejoint l'accident du travail sur certaines règles de paye… et s'en éloigne sur d'autres.</w:t>
      </w:r>
    </w:p>
    <w:p w14:paraId="7F4A89D7" w14:textId="77777777" w:rsidR="00CA25D8" w:rsidRPr="00CA25D8" w:rsidRDefault="00CA25D8" w:rsidP="00CA25D8">
      <w:pPr>
        <w:rPr>
          <w:b/>
          <w:bCs/>
        </w:rPr>
      </w:pPr>
      <w:bookmarkStart w:id="0" w:name="s1"/>
      <w:bookmarkEnd w:id="0"/>
      <w:r w:rsidRPr="00CA25D8">
        <w:rPr>
          <w:b/>
          <w:bCs/>
        </w:rPr>
        <w:t>Reconnaître un accident de trajet</w:t>
      </w:r>
    </w:p>
    <w:p w14:paraId="6996EBB3" w14:textId="77777777" w:rsidR="00CA25D8" w:rsidRPr="00CA25D8" w:rsidRDefault="00CA25D8" w:rsidP="00CA25D8">
      <w:pPr>
        <w:rPr>
          <w:b/>
          <w:bCs/>
        </w:rPr>
      </w:pPr>
      <w:bookmarkStart w:id="1" w:name="s2"/>
      <w:bookmarkEnd w:id="1"/>
      <w:r w:rsidRPr="00CA25D8">
        <w:rPr>
          <w:b/>
          <w:bCs/>
        </w:rPr>
        <w:t>Trajets concernés.</w:t>
      </w:r>
    </w:p>
    <w:p w14:paraId="5DDD0FC3" w14:textId="77777777" w:rsidR="00CA25D8" w:rsidRPr="00CA25D8" w:rsidRDefault="00CA25D8" w:rsidP="00CA25D8">
      <w:r w:rsidRPr="00CA25D8">
        <w:t xml:space="preserve">Un accident de trajet est un accident dont est victime un salarié au cours du trajet normal aller et retour (c. </w:t>
      </w:r>
      <w:proofErr w:type="spellStart"/>
      <w:r w:rsidRPr="00CA25D8">
        <w:t>séc</w:t>
      </w:r>
      <w:proofErr w:type="spellEnd"/>
      <w:r w:rsidRPr="00CA25D8">
        <w:t xml:space="preserve">. </w:t>
      </w:r>
      <w:proofErr w:type="gramStart"/>
      <w:r w:rsidRPr="00CA25D8">
        <w:t>soc</w:t>
      </w:r>
      <w:proofErr w:type="gramEnd"/>
      <w:r w:rsidRPr="00CA25D8">
        <w:t xml:space="preserve">. </w:t>
      </w:r>
      <w:hyperlink r:id="rId4" w:tgtFrame="_blank" w:history="1">
        <w:r w:rsidRPr="00CA25D8">
          <w:rPr>
            <w:rStyle w:val="Lienhypertexte"/>
          </w:rPr>
          <w:t>art. L. 411-2</w:t>
        </w:r>
      </w:hyperlink>
      <w:r w:rsidRPr="00CA25D8">
        <w:t>) :</w:t>
      </w:r>
    </w:p>
    <w:p w14:paraId="04B28E99" w14:textId="77777777" w:rsidR="00CA25D8" w:rsidRPr="00CA25D8" w:rsidRDefault="00CA25D8" w:rsidP="00CA25D8">
      <w:r w:rsidRPr="00CA25D8">
        <w:t>-soit entre le lieu de travail et le lieu où il prend habituellement ses repas (ex. : restaurant, cantine) ;</w:t>
      </w:r>
    </w:p>
    <w:p w14:paraId="5115467E" w14:textId="77777777" w:rsidR="00CA25D8" w:rsidRPr="00CA25D8" w:rsidRDefault="00CA25D8" w:rsidP="00CA25D8">
      <w:r w:rsidRPr="00CA25D8">
        <w:t>-soit entre le lieu de travail (accès, ateliers, dépendances inclus) et sa résidence principale, sa résidence secondaire si elle présente un caractère de stabilité ou tout lieu fréquenté habituellement pour des motifs d’ordre familial.</w:t>
      </w:r>
    </w:p>
    <w:p w14:paraId="383E317B" w14:textId="77777777" w:rsidR="00CA25D8" w:rsidRPr="00CA25D8" w:rsidRDefault="00CA25D8" w:rsidP="00CA25D8">
      <w:r w:rsidRPr="00CA25D8">
        <w:t>Dans cette 2</w:t>
      </w:r>
      <w:r w:rsidRPr="00CA25D8">
        <w:rPr>
          <w:vertAlign w:val="superscript"/>
        </w:rPr>
        <w:t>e</w:t>
      </w:r>
      <w:r w:rsidRPr="00CA25D8">
        <w:t xml:space="preserve"> situation, le trajet « protégé » commence lorsque le salarié quitte son domicile ou ses dépendances (dépendances immédiates comprises, ex. : jardin, garage au sous-sol) et s’achève au retour, lorsqu’il en franchit les limites (</w:t>
      </w:r>
      <w:proofErr w:type="spellStart"/>
      <w:r w:rsidRPr="00CA25D8">
        <w:t>cass</w:t>
      </w:r>
      <w:proofErr w:type="spellEnd"/>
      <w:r w:rsidRPr="00CA25D8">
        <w:t xml:space="preserve">. civ., 2e ch., 29 février 2024, n° </w:t>
      </w:r>
      <w:hyperlink r:id="rId5" w:tgtFrame="_blank" w:history="1">
        <w:r w:rsidRPr="00CA25D8">
          <w:rPr>
            <w:rStyle w:val="Lienhypertexte"/>
          </w:rPr>
          <w:t>22-14592</w:t>
        </w:r>
      </w:hyperlink>
      <w:r w:rsidRPr="00CA25D8">
        <w:t xml:space="preserve"> FB).</w:t>
      </w:r>
    </w:p>
    <w:p w14:paraId="44FD1021" w14:textId="77777777" w:rsidR="00CA25D8" w:rsidRPr="00CA25D8" w:rsidRDefault="00CA25D8" w:rsidP="00CA25D8">
      <w:pPr>
        <w:rPr>
          <w:b/>
          <w:bCs/>
        </w:rPr>
      </w:pPr>
      <w:bookmarkStart w:id="2" w:name="s3"/>
      <w:bookmarkEnd w:id="2"/>
      <w:r w:rsidRPr="00CA25D8">
        <w:rPr>
          <w:b/>
          <w:bCs/>
        </w:rPr>
        <w:t>Trajet normal.</w:t>
      </w:r>
    </w:p>
    <w:p w14:paraId="3B6090AA" w14:textId="77777777" w:rsidR="00CA25D8" w:rsidRPr="00CA25D8" w:rsidRDefault="00CA25D8" w:rsidP="00CA25D8">
      <w:r w:rsidRPr="00CA25D8">
        <w:t>L’accident doit survenir pendant le temps normal du trajet le plus direct, compte tenu de l’horaire habituel de l’entreprise ou du salarié (ex. : horaires variables). Le salarié peut toutefois faire un détour ou interrompre son trajet pour un motif lié à l'emploi ou pour les « nécessités essentielles de la vie courante ou de l’emploi » (et non pour un motif dicté par son intérêt personnel).</w:t>
      </w:r>
    </w:p>
    <w:p w14:paraId="029A98F6" w14:textId="77777777" w:rsidR="00CA25D8" w:rsidRPr="00CA25D8" w:rsidRDefault="00CA25D8" w:rsidP="00CA25D8">
      <w:r w:rsidRPr="00CA25D8">
        <w:t xml:space="preserve">De même, sur le parcours domicile-entreprise, les détours dans le cadre d’un covoiturage « régulier » sont admis (c. </w:t>
      </w:r>
      <w:proofErr w:type="spellStart"/>
      <w:r w:rsidRPr="00CA25D8">
        <w:t>séc</w:t>
      </w:r>
      <w:proofErr w:type="spellEnd"/>
      <w:r w:rsidRPr="00CA25D8">
        <w:t xml:space="preserve">. </w:t>
      </w:r>
      <w:proofErr w:type="gramStart"/>
      <w:r w:rsidRPr="00CA25D8">
        <w:t>soc</w:t>
      </w:r>
      <w:proofErr w:type="gramEnd"/>
      <w:r w:rsidRPr="00CA25D8">
        <w:t xml:space="preserve">. </w:t>
      </w:r>
      <w:hyperlink r:id="rId6" w:tgtFrame="_blank" w:history="1">
        <w:r w:rsidRPr="00CA25D8">
          <w:rPr>
            <w:rStyle w:val="Lienhypertexte"/>
          </w:rPr>
          <w:t>art. L. 411-2</w:t>
        </w:r>
      </w:hyperlink>
      <w:r w:rsidRPr="00CA25D8">
        <w:t>, 1°).</w:t>
      </w:r>
    </w:p>
    <w:p w14:paraId="7FEAC89D" w14:textId="77777777" w:rsidR="00CA25D8" w:rsidRPr="00CA25D8" w:rsidRDefault="00CA25D8" w:rsidP="00CA25D8">
      <w:pPr>
        <w:rPr>
          <w:b/>
          <w:bCs/>
        </w:rPr>
      </w:pPr>
      <w:bookmarkStart w:id="3" w:name="s7"/>
      <w:bookmarkEnd w:id="3"/>
      <w:r w:rsidRPr="00CA25D8">
        <w:rPr>
          <w:b/>
          <w:bCs/>
        </w:rPr>
        <w:t>Déclarer l'accident.</w:t>
      </w:r>
    </w:p>
    <w:p w14:paraId="6D1F3887" w14:textId="77777777" w:rsidR="00CA25D8" w:rsidRPr="00CA25D8" w:rsidRDefault="00CA25D8" w:rsidP="00CA25D8">
      <w:r w:rsidRPr="00CA25D8">
        <w:t xml:space="preserve">L'employeur réalise les mêmes formalités déclaratives qu'en cas d’accident du travail (AT) (voir Dictionnaire Paye, « </w:t>
      </w:r>
      <w:hyperlink r:id="rId7" w:history="1">
        <w:r w:rsidRPr="00CA25D8">
          <w:rPr>
            <w:rStyle w:val="Lienhypertexte"/>
          </w:rPr>
          <w:t>Déclaration des accidents du travail</w:t>
        </w:r>
      </w:hyperlink>
      <w:r w:rsidRPr="00CA25D8">
        <w:t xml:space="preserve"> »).</w:t>
      </w:r>
    </w:p>
    <w:p w14:paraId="61C88FCC" w14:textId="77777777" w:rsidR="00CA25D8" w:rsidRPr="00CA25D8" w:rsidRDefault="00CA25D8" w:rsidP="00CA25D8">
      <w:pPr>
        <w:rPr>
          <w:b/>
          <w:bCs/>
        </w:rPr>
      </w:pPr>
      <w:bookmarkStart w:id="4" w:name="s4"/>
      <w:bookmarkEnd w:id="4"/>
      <w:r w:rsidRPr="00CA25D8">
        <w:rPr>
          <w:b/>
          <w:bCs/>
        </w:rPr>
        <w:t>Les points clés en paye</w:t>
      </w:r>
    </w:p>
    <w:p w14:paraId="66416F95" w14:textId="77777777" w:rsidR="00CA25D8" w:rsidRPr="00CA25D8" w:rsidRDefault="00CA25D8" w:rsidP="00CA25D8">
      <w:pPr>
        <w:rPr>
          <w:b/>
          <w:bCs/>
        </w:rPr>
      </w:pPr>
      <w:bookmarkStart w:id="5" w:name="s5"/>
      <w:bookmarkEnd w:id="5"/>
      <w:r w:rsidRPr="00CA25D8">
        <w:rPr>
          <w:b/>
          <w:bCs/>
        </w:rPr>
        <w:t>Signalement DSN.</w:t>
      </w:r>
    </w:p>
    <w:p w14:paraId="7762853C" w14:textId="77777777" w:rsidR="00CA25D8" w:rsidRPr="00CA25D8" w:rsidRDefault="00CA25D8" w:rsidP="00CA25D8">
      <w:r w:rsidRPr="00CA25D8">
        <w:t>L'arrêt de travail pour accident de trajet doit être signalé en DSN, via le code : « congé suite à un accident de trajet (S21.G00.60.001 = 04) » (www.net-entreprises.fr, base de connaissances DSN, fiche 715 mise à jour le 30 juillet 2024).</w:t>
      </w:r>
    </w:p>
    <w:p w14:paraId="199E5466" w14:textId="77777777" w:rsidR="00CA25D8" w:rsidRPr="00CA25D8" w:rsidRDefault="00CA25D8" w:rsidP="00CA25D8">
      <w:pPr>
        <w:rPr>
          <w:b/>
          <w:bCs/>
        </w:rPr>
      </w:pPr>
      <w:bookmarkStart w:id="6" w:name="s6"/>
      <w:bookmarkEnd w:id="6"/>
      <w:r w:rsidRPr="00CA25D8">
        <w:rPr>
          <w:b/>
          <w:bCs/>
        </w:rPr>
        <w:t>IJSS.</w:t>
      </w:r>
    </w:p>
    <w:p w14:paraId="6A187B6F" w14:textId="77777777" w:rsidR="00CA25D8" w:rsidRPr="00CA25D8" w:rsidRDefault="00CA25D8" w:rsidP="00CA25D8">
      <w:r w:rsidRPr="00CA25D8">
        <w:t>L’accident de trajet ouvre droit à la même indemnisation sécurité sociale qu’un accident du travail (IJSS d’accident du travail sans délai de carence, notamment).</w:t>
      </w:r>
    </w:p>
    <w:p w14:paraId="48443BDF" w14:textId="77777777" w:rsidR="00CA25D8" w:rsidRPr="00CA25D8" w:rsidRDefault="00CA25D8" w:rsidP="00CA25D8">
      <w:pPr>
        <w:rPr>
          <w:b/>
          <w:bCs/>
        </w:rPr>
      </w:pPr>
      <w:bookmarkStart w:id="7" w:name="s8"/>
      <w:bookmarkEnd w:id="7"/>
      <w:r w:rsidRPr="00CA25D8">
        <w:rPr>
          <w:b/>
          <w:bCs/>
        </w:rPr>
        <w:t>Indemnités complémentaires.</w:t>
      </w:r>
    </w:p>
    <w:p w14:paraId="7CB9BF16" w14:textId="77777777" w:rsidR="00CA25D8" w:rsidRPr="00CA25D8" w:rsidRDefault="00CA25D8" w:rsidP="00CA25D8">
      <w:r w:rsidRPr="00CA25D8">
        <w:lastRenderedPageBreak/>
        <w:t xml:space="preserve">Les indemnités complémentaires dont l’employeur est éventuellement redevable en application du dispositif de maintien de salaire prévu par le code du travail (c. trav. </w:t>
      </w:r>
      <w:hyperlink r:id="rId8" w:tgtFrame="_blank" w:history="1">
        <w:r w:rsidRPr="00CA25D8">
          <w:rPr>
            <w:rStyle w:val="Lienhypertexte"/>
          </w:rPr>
          <w:t>art. L. 1226-1</w:t>
        </w:r>
      </w:hyperlink>
      <w:r w:rsidRPr="00CA25D8">
        <w:t xml:space="preserve">, </w:t>
      </w:r>
      <w:hyperlink r:id="rId9" w:tgtFrame="_blank" w:history="1">
        <w:r w:rsidRPr="00CA25D8">
          <w:rPr>
            <w:rStyle w:val="Lienhypertexte"/>
          </w:rPr>
          <w:t>D. 1226-1</w:t>
        </w:r>
      </w:hyperlink>
      <w:r w:rsidRPr="00CA25D8">
        <w:t xml:space="preserve"> et </w:t>
      </w:r>
      <w:hyperlink r:id="rId10" w:tgtFrame="_blank" w:history="1">
        <w:r w:rsidRPr="00CA25D8">
          <w:rPr>
            <w:rStyle w:val="Lienhypertexte"/>
          </w:rPr>
          <w:t>D. 1226-2</w:t>
        </w:r>
      </w:hyperlink>
      <w:r w:rsidRPr="00CA25D8">
        <w:t xml:space="preserve">) ne sont dues qu’après 7 jours de carence, comme en cas de maladie non professionnelle (c. trav. </w:t>
      </w:r>
      <w:hyperlink r:id="rId11" w:tgtFrame="_blank" w:history="1">
        <w:r w:rsidRPr="00CA25D8">
          <w:rPr>
            <w:rStyle w:val="Lienhypertexte"/>
          </w:rPr>
          <w:t>art. D. 1226-3</w:t>
        </w:r>
      </w:hyperlink>
      <w:r w:rsidRPr="00CA25D8">
        <w:t>).</w:t>
      </w:r>
    </w:p>
    <w:p w14:paraId="7CE4B077" w14:textId="77777777" w:rsidR="00CA25D8" w:rsidRPr="00CA25D8" w:rsidRDefault="00CA25D8" w:rsidP="00CA25D8">
      <w:pPr>
        <w:rPr>
          <w:b/>
          <w:bCs/>
        </w:rPr>
      </w:pPr>
      <w:bookmarkStart w:id="8" w:name="s9"/>
      <w:bookmarkEnd w:id="8"/>
      <w:r w:rsidRPr="00CA25D8">
        <w:rPr>
          <w:b/>
          <w:bCs/>
        </w:rPr>
        <w:t>Congés payés.</w:t>
      </w:r>
    </w:p>
    <w:p w14:paraId="6C52C0A3" w14:textId="77777777" w:rsidR="00CA25D8" w:rsidRPr="00CA25D8" w:rsidRDefault="00CA25D8" w:rsidP="00CA25D8">
      <w:r w:rsidRPr="00CA25D8">
        <w:t>L’accident de trajet est assimilé à un AT pour l’acquisition des congés payés (CP) (</w:t>
      </w:r>
      <w:proofErr w:type="spellStart"/>
      <w:r w:rsidRPr="00CA25D8">
        <w:t>cass</w:t>
      </w:r>
      <w:proofErr w:type="spellEnd"/>
      <w:r w:rsidRPr="00CA25D8">
        <w:t xml:space="preserve">. </w:t>
      </w:r>
      <w:proofErr w:type="gramStart"/>
      <w:r w:rsidRPr="00CA25D8">
        <w:t>soc</w:t>
      </w:r>
      <w:proofErr w:type="gramEnd"/>
      <w:r w:rsidRPr="00CA25D8">
        <w:t xml:space="preserve">. 3 juillet 2012, n° </w:t>
      </w:r>
      <w:hyperlink r:id="rId12" w:tgtFrame="_blank" w:history="1">
        <w:r w:rsidRPr="00CA25D8">
          <w:rPr>
            <w:rStyle w:val="Lienhypertexte"/>
          </w:rPr>
          <w:t>08-44834</w:t>
        </w:r>
      </w:hyperlink>
      <w:r w:rsidRPr="00CA25D8">
        <w:t xml:space="preserve">, BC V n° 204). En l'état, le salarié devrait donc en toute logique acquérir des CP dans les mêmes conditions (2,5 ouvrables de CP par mois) (c. trav. </w:t>
      </w:r>
      <w:hyperlink r:id="rId13" w:tgtFrame="_blank" w:history="1">
        <w:r w:rsidRPr="00CA25D8">
          <w:rPr>
            <w:rStyle w:val="Lienhypertexte"/>
          </w:rPr>
          <w:t>art. L. 3141-3</w:t>
        </w:r>
      </w:hyperlink>
      <w:r w:rsidRPr="00CA25D8">
        <w:t xml:space="preserve"> et </w:t>
      </w:r>
      <w:hyperlink r:id="rId14" w:tgtFrame="_blank" w:history="1">
        <w:r w:rsidRPr="00CA25D8">
          <w:rPr>
            <w:rStyle w:val="Lienhypertexte"/>
          </w:rPr>
          <w:t>L. 3141-5</w:t>
        </w:r>
      </w:hyperlink>
      <w:r w:rsidRPr="00CA25D8">
        <w:t>, 5°).</w:t>
      </w:r>
    </w:p>
    <w:p w14:paraId="3DB50D59" w14:textId="77777777" w:rsidR="00CA25D8" w:rsidRPr="00CA25D8" w:rsidRDefault="00CA25D8" w:rsidP="00CA25D8">
      <w:r w:rsidRPr="00CA25D8">
        <w:t>Et ce, pendant toute la durée de l'arrêt de travail (et plus seulement pendant la première année), tant en application de la jurisprudence (</w:t>
      </w:r>
      <w:proofErr w:type="spellStart"/>
      <w:r w:rsidRPr="00CA25D8">
        <w:t>cass</w:t>
      </w:r>
      <w:proofErr w:type="spellEnd"/>
      <w:r w:rsidRPr="00CA25D8">
        <w:t xml:space="preserve">. </w:t>
      </w:r>
      <w:proofErr w:type="gramStart"/>
      <w:r w:rsidRPr="00CA25D8">
        <w:t>soc</w:t>
      </w:r>
      <w:proofErr w:type="gramEnd"/>
      <w:r w:rsidRPr="00CA25D8">
        <w:t xml:space="preserve">. 13 septembre 2023, n° </w:t>
      </w:r>
      <w:hyperlink r:id="rId15" w:tgtFrame="_blank" w:history="1">
        <w:r w:rsidRPr="00CA25D8">
          <w:rPr>
            <w:rStyle w:val="Lienhypertexte"/>
          </w:rPr>
          <w:t>22-17638</w:t>
        </w:r>
      </w:hyperlink>
      <w:r w:rsidRPr="00CA25D8">
        <w:t xml:space="preserve"> FPBR) que de la loi du 22 avril 2024 (c. trav. </w:t>
      </w:r>
      <w:hyperlink r:id="rId16" w:tgtFrame="_blank" w:history="1">
        <w:r w:rsidRPr="00CA25D8">
          <w:rPr>
            <w:rStyle w:val="Lienhypertexte"/>
          </w:rPr>
          <w:t>art. L. 3141-5</w:t>
        </w:r>
      </w:hyperlink>
      <w:r w:rsidRPr="00CA25D8">
        <w:t xml:space="preserve">, 5° modifié ; loi </w:t>
      </w:r>
      <w:hyperlink r:id="rId17" w:tgtFrame="_blank" w:history="1">
        <w:r w:rsidRPr="00CA25D8">
          <w:rPr>
            <w:rStyle w:val="Lienhypertexte"/>
          </w:rPr>
          <w:t xml:space="preserve">2024-364 </w:t>
        </w:r>
      </w:hyperlink>
      <w:r w:rsidRPr="00CA25D8">
        <w:t>du 22 avril 2024, art. 37).</w:t>
      </w:r>
    </w:p>
    <w:p w14:paraId="65CDEAF8" w14:textId="77777777" w:rsidR="00CA25D8" w:rsidRPr="00CA25D8" w:rsidRDefault="00CA25D8" w:rsidP="00CA25D8">
      <w:r w:rsidRPr="00CA25D8">
        <w:t xml:space="preserve">Le cas échéant, le salarié peut bénéficier des nouvelles règles de report pour les CP acquis qu’il ne peut pas prendre au cours de leur période « normale » de prise, en raison d’un arrêt de travail pour maladie ou accident, à caractère professionnel ou non professionnel [c. trav. </w:t>
      </w:r>
      <w:hyperlink r:id="rId18" w:tgtFrame="_blank" w:history="1">
        <w:r w:rsidRPr="00CA25D8">
          <w:rPr>
            <w:rStyle w:val="Lienhypertexte"/>
          </w:rPr>
          <w:t>art. L. 3141-19-1</w:t>
        </w:r>
      </w:hyperlink>
      <w:r w:rsidRPr="00CA25D8">
        <w:t xml:space="preserve"> et </w:t>
      </w:r>
      <w:hyperlink r:id="rId19" w:tgtFrame="_blank" w:history="1">
        <w:r w:rsidRPr="00CA25D8">
          <w:rPr>
            <w:rStyle w:val="Lienhypertexte"/>
          </w:rPr>
          <w:t>L. 3141-19-2</w:t>
        </w:r>
      </w:hyperlink>
      <w:r w:rsidRPr="00CA25D8">
        <w:t xml:space="preserve"> ; voir Dictionnaire Paye, « </w:t>
      </w:r>
      <w:hyperlink r:id="rId20" w:history="1">
        <w:r w:rsidRPr="00CA25D8">
          <w:rPr>
            <w:rStyle w:val="Lienhypertexte"/>
          </w:rPr>
          <w:t>Congés payés (incidence des arrêts de travail)</w:t>
        </w:r>
      </w:hyperlink>
      <w:r w:rsidRPr="00CA25D8">
        <w:t xml:space="preserve"> »].</w:t>
      </w:r>
    </w:p>
    <w:p w14:paraId="27BC0B8E" w14:textId="77777777" w:rsidR="00CA25D8" w:rsidRPr="00CA25D8" w:rsidRDefault="00CA25D8" w:rsidP="00CA25D8">
      <w:pPr>
        <w:rPr>
          <w:b/>
          <w:bCs/>
        </w:rPr>
      </w:pPr>
      <w:bookmarkStart w:id="9" w:name="s10"/>
      <w:bookmarkEnd w:id="9"/>
      <w:r w:rsidRPr="00CA25D8">
        <w:rPr>
          <w:b/>
          <w:bCs/>
        </w:rPr>
        <w:t>Ancienneté.</w:t>
      </w:r>
    </w:p>
    <w:p w14:paraId="741409CB" w14:textId="77777777" w:rsidR="00CA25D8" w:rsidRPr="00CA25D8" w:rsidRDefault="00CA25D8" w:rsidP="00CA25D8">
      <w:r w:rsidRPr="00CA25D8">
        <w:t>L’accident de trajet est considéré comme un accident ou une maladie à caractère non professionnel, sauf disposition plus favorable l'assimilant à un AT. Sous cette réserve, l'arrêt de travail n'est donc pas pris en compte dans le calcul de l'ancienneté.</w:t>
      </w:r>
    </w:p>
    <w:p w14:paraId="53015900"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D8"/>
    <w:rsid w:val="001D5F92"/>
    <w:rsid w:val="0047139F"/>
    <w:rsid w:val="00475EF8"/>
    <w:rsid w:val="006B2DFD"/>
    <w:rsid w:val="0089375D"/>
    <w:rsid w:val="009348DD"/>
    <w:rsid w:val="0095167B"/>
    <w:rsid w:val="00A56356"/>
    <w:rsid w:val="00CA25D8"/>
    <w:rsid w:val="00EF6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D927"/>
  <w15:chartTrackingRefBased/>
  <w15:docId w15:val="{FC38C474-599F-469F-8933-7562E023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A25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CA25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CA25D8"/>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CA25D8"/>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CA25D8"/>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CA25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A25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A25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A25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A25D8"/>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CA25D8"/>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CA25D8"/>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CA25D8"/>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CA25D8"/>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CA25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A25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A25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A25D8"/>
    <w:rPr>
      <w:rFonts w:eastAsiaTheme="majorEastAsia" w:cstheme="majorBidi"/>
      <w:color w:val="272727" w:themeColor="text1" w:themeTint="D8"/>
    </w:rPr>
  </w:style>
  <w:style w:type="paragraph" w:styleId="Titre">
    <w:name w:val="Title"/>
    <w:basedOn w:val="Normal"/>
    <w:next w:val="Normal"/>
    <w:link w:val="TitreCar"/>
    <w:uiPriority w:val="10"/>
    <w:qFormat/>
    <w:rsid w:val="00CA25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A25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A25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A25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A25D8"/>
    <w:pPr>
      <w:spacing w:before="160"/>
      <w:jc w:val="center"/>
    </w:pPr>
    <w:rPr>
      <w:i/>
      <w:iCs/>
      <w:color w:val="404040" w:themeColor="text1" w:themeTint="BF"/>
    </w:rPr>
  </w:style>
  <w:style w:type="character" w:customStyle="1" w:styleId="CitationCar">
    <w:name w:val="Citation Car"/>
    <w:basedOn w:val="Policepardfaut"/>
    <w:link w:val="Citation"/>
    <w:uiPriority w:val="29"/>
    <w:rsid w:val="00CA25D8"/>
    <w:rPr>
      <w:i/>
      <w:iCs/>
      <w:color w:val="404040" w:themeColor="text1" w:themeTint="BF"/>
    </w:rPr>
  </w:style>
  <w:style w:type="paragraph" w:styleId="Paragraphedeliste">
    <w:name w:val="List Paragraph"/>
    <w:basedOn w:val="Normal"/>
    <w:uiPriority w:val="34"/>
    <w:qFormat/>
    <w:rsid w:val="00CA25D8"/>
    <w:pPr>
      <w:ind w:left="720"/>
      <w:contextualSpacing/>
    </w:pPr>
  </w:style>
  <w:style w:type="character" w:styleId="Accentuationintense">
    <w:name w:val="Intense Emphasis"/>
    <w:basedOn w:val="Policepardfaut"/>
    <w:uiPriority w:val="21"/>
    <w:qFormat/>
    <w:rsid w:val="00CA25D8"/>
    <w:rPr>
      <w:i/>
      <w:iCs/>
      <w:color w:val="2F5496" w:themeColor="accent1" w:themeShade="BF"/>
    </w:rPr>
  </w:style>
  <w:style w:type="paragraph" w:styleId="Citationintense">
    <w:name w:val="Intense Quote"/>
    <w:basedOn w:val="Normal"/>
    <w:next w:val="Normal"/>
    <w:link w:val="CitationintenseCar"/>
    <w:uiPriority w:val="30"/>
    <w:qFormat/>
    <w:rsid w:val="00CA25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CA25D8"/>
    <w:rPr>
      <w:i/>
      <w:iCs/>
      <w:color w:val="2F5496" w:themeColor="accent1" w:themeShade="BF"/>
    </w:rPr>
  </w:style>
  <w:style w:type="character" w:styleId="Rfrenceintense">
    <w:name w:val="Intense Reference"/>
    <w:basedOn w:val="Policepardfaut"/>
    <w:uiPriority w:val="32"/>
    <w:qFormat/>
    <w:rsid w:val="00CA25D8"/>
    <w:rPr>
      <w:b/>
      <w:bCs/>
      <w:smallCaps/>
      <w:color w:val="2F5496" w:themeColor="accent1" w:themeShade="BF"/>
      <w:spacing w:val="5"/>
    </w:rPr>
  </w:style>
  <w:style w:type="character" w:styleId="Lienhypertexte">
    <w:name w:val="Hyperlink"/>
    <w:basedOn w:val="Policepardfaut"/>
    <w:uiPriority w:val="99"/>
    <w:unhideWhenUsed/>
    <w:rsid w:val="00CA25D8"/>
    <w:rPr>
      <w:color w:val="0563C1" w:themeColor="hyperlink"/>
      <w:u w:val="single"/>
    </w:rPr>
  </w:style>
  <w:style w:type="character" w:styleId="Mentionnonrsolue">
    <w:name w:val="Unresolved Mention"/>
    <w:basedOn w:val="Policepardfaut"/>
    <w:uiPriority w:val="99"/>
    <w:semiHidden/>
    <w:unhideWhenUsed/>
    <w:rsid w:val="00CA2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233337">
      <w:bodyDiv w:val="1"/>
      <w:marLeft w:val="0"/>
      <w:marRight w:val="0"/>
      <w:marTop w:val="0"/>
      <w:marBottom w:val="0"/>
      <w:divBdr>
        <w:top w:val="none" w:sz="0" w:space="0" w:color="auto"/>
        <w:left w:val="none" w:sz="0" w:space="0" w:color="auto"/>
        <w:bottom w:val="none" w:sz="0" w:space="0" w:color="auto"/>
        <w:right w:val="none" w:sz="0" w:space="0" w:color="auto"/>
      </w:divBdr>
      <w:divsChild>
        <w:div w:id="1372487582">
          <w:marLeft w:val="0"/>
          <w:marRight w:val="0"/>
          <w:marTop w:val="0"/>
          <w:marBottom w:val="0"/>
          <w:divBdr>
            <w:top w:val="none" w:sz="0" w:space="0" w:color="auto"/>
            <w:left w:val="none" w:sz="0" w:space="0" w:color="auto"/>
            <w:bottom w:val="none" w:sz="0" w:space="0" w:color="auto"/>
            <w:right w:val="none" w:sz="0" w:space="0" w:color="auto"/>
          </w:divBdr>
        </w:div>
        <w:div w:id="1321470113">
          <w:marLeft w:val="0"/>
          <w:marRight w:val="0"/>
          <w:marTop w:val="0"/>
          <w:marBottom w:val="0"/>
          <w:divBdr>
            <w:top w:val="none" w:sz="0" w:space="0" w:color="auto"/>
            <w:left w:val="none" w:sz="0" w:space="0" w:color="auto"/>
            <w:bottom w:val="none" w:sz="0" w:space="0" w:color="auto"/>
            <w:right w:val="none" w:sz="0" w:space="0" w:color="auto"/>
          </w:divBdr>
          <w:divsChild>
            <w:div w:id="909123095">
              <w:marLeft w:val="0"/>
              <w:marRight w:val="0"/>
              <w:marTop w:val="0"/>
              <w:marBottom w:val="0"/>
              <w:divBdr>
                <w:top w:val="none" w:sz="0" w:space="0" w:color="auto"/>
                <w:left w:val="none" w:sz="0" w:space="0" w:color="auto"/>
                <w:bottom w:val="none" w:sz="0" w:space="0" w:color="auto"/>
                <w:right w:val="none" w:sz="0" w:space="0" w:color="auto"/>
              </w:divBdr>
              <w:divsChild>
                <w:div w:id="682702666">
                  <w:marLeft w:val="0"/>
                  <w:marRight w:val="0"/>
                  <w:marTop w:val="0"/>
                  <w:marBottom w:val="0"/>
                  <w:divBdr>
                    <w:top w:val="none" w:sz="0" w:space="0" w:color="auto"/>
                    <w:left w:val="none" w:sz="0" w:space="0" w:color="auto"/>
                    <w:bottom w:val="none" w:sz="0" w:space="0" w:color="auto"/>
                    <w:right w:val="none" w:sz="0" w:space="0" w:color="auto"/>
                  </w:divBdr>
                  <w:divsChild>
                    <w:div w:id="999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65489">
              <w:marLeft w:val="0"/>
              <w:marRight w:val="0"/>
              <w:marTop w:val="0"/>
              <w:marBottom w:val="0"/>
              <w:divBdr>
                <w:top w:val="none" w:sz="0" w:space="0" w:color="auto"/>
                <w:left w:val="none" w:sz="0" w:space="0" w:color="auto"/>
                <w:bottom w:val="none" w:sz="0" w:space="0" w:color="auto"/>
                <w:right w:val="none" w:sz="0" w:space="0" w:color="auto"/>
              </w:divBdr>
              <w:divsChild>
                <w:div w:id="1801344042">
                  <w:marLeft w:val="0"/>
                  <w:marRight w:val="0"/>
                  <w:marTop w:val="0"/>
                  <w:marBottom w:val="0"/>
                  <w:divBdr>
                    <w:top w:val="none" w:sz="0" w:space="0" w:color="auto"/>
                    <w:left w:val="none" w:sz="0" w:space="0" w:color="auto"/>
                    <w:bottom w:val="none" w:sz="0" w:space="0" w:color="auto"/>
                    <w:right w:val="none" w:sz="0" w:space="0" w:color="auto"/>
                  </w:divBdr>
                  <w:divsChild>
                    <w:div w:id="1635868066">
                      <w:marLeft w:val="0"/>
                      <w:marRight w:val="0"/>
                      <w:marTop w:val="0"/>
                      <w:marBottom w:val="0"/>
                      <w:divBdr>
                        <w:top w:val="none" w:sz="0" w:space="0" w:color="auto"/>
                        <w:left w:val="none" w:sz="0" w:space="0" w:color="auto"/>
                        <w:bottom w:val="none" w:sz="0" w:space="0" w:color="auto"/>
                        <w:right w:val="none" w:sz="0" w:space="0" w:color="auto"/>
                      </w:divBdr>
                    </w:div>
                    <w:div w:id="1062410150">
                      <w:marLeft w:val="0"/>
                      <w:marRight w:val="0"/>
                      <w:marTop w:val="0"/>
                      <w:marBottom w:val="0"/>
                      <w:divBdr>
                        <w:top w:val="none" w:sz="0" w:space="0" w:color="auto"/>
                        <w:left w:val="none" w:sz="0" w:space="0" w:color="auto"/>
                        <w:bottom w:val="none" w:sz="0" w:space="0" w:color="auto"/>
                        <w:right w:val="none" w:sz="0" w:space="0" w:color="auto"/>
                      </w:divBdr>
                    </w:div>
                    <w:div w:id="1364936943">
                      <w:marLeft w:val="0"/>
                      <w:marRight w:val="0"/>
                      <w:marTop w:val="0"/>
                      <w:marBottom w:val="0"/>
                      <w:divBdr>
                        <w:top w:val="none" w:sz="0" w:space="0" w:color="auto"/>
                        <w:left w:val="none" w:sz="0" w:space="0" w:color="auto"/>
                        <w:bottom w:val="none" w:sz="0" w:space="0" w:color="auto"/>
                        <w:right w:val="none" w:sz="0" w:space="0" w:color="auto"/>
                      </w:divBdr>
                    </w:div>
                    <w:div w:id="282032860">
                      <w:marLeft w:val="0"/>
                      <w:marRight w:val="0"/>
                      <w:marTop w:val="0"/>
                      <w:marBottom w:val="0"/>
                      <w:divBdr>
                        <w:top w:val="none" w:sz="0" w:space="0" w:color="auto"/>
                        <w:left w:val="none" w:sz="0" w:space="0" w:color="auto"/>
                        <w:bottom w:val="none" w:sz="0" w:space="0" w:color="auto"/>
                        <w:right w:val="none" w:sz="0" w:space="0" w:color="auto"/>
                      </w:divBdr>
                    </w:div>
                  </w:divsChild>
                </w:div>
                <w:div w:id="1163740229">
                  <w:marLeft w:val="0"/>
                  <w:marRight w:val="0"/>
                  <w:marTop w:val="0"/>
                  <w:marBottom w:val="0"/>
                  <w:divBdr>
                    <w:top w:val="none" w:sz="0" w:space="0" w:color="auto"/>
                    <w:left w:val="none" w:sz="0" w:space="0" w:color="auto"/>
                    <w:bottom w:val="none" w:sz="0" w:space="0" w:color="auto"/>
                    <w:right w:val="none" w:sz="0" w:space="0" w:color="auto"/>
                  </w:divBdr>
                  <w:divsChild>
                    <w:div w:id="1767918512">
                      <w:marLeft w:val="0"/>
                      <w:marRight w:val="0"/>
                      <w:marTop w:val="0"/>
                      <w:marBottom w:val="0"/>
                      <w:divBdr>
                        <w:top w:val="none" w:sz="0" w:space="0" w:color="auto"/>
                        <w:left w:val="none" w:sz="0" w:space="0" w:color="auto"/>
                        <w:bottom w:val="none" w:sz="0" w:space="0" w:color="auto"/>
                        <w:right w:val="none" w:sz="0" w:space="0" w:color="auto"/>
                      </w:divBdr>
                    </w:div>
                    <w:div w:id="838891597">
                      <w:marLeft w:val="0"/>
                      <w:marRight w:val="0"/>
                      <w:marTop w:val="0"/>
                      <w:marBottom w:val="0"/>
                      <w:divBdr>
                        <w:top w:val="none" w:sz="0" w:space="0" w:color="auto"/>
                        <w:left w:val="none" w:sz="0" w:space="0" w:color="auto"/>
                        <w:bottom w:val="none" w:sz="0" w:space="0" w:color="auto"/>
                        <w:right w:val="none" w:sz="0" w:space="0" w:color="auto"/>
                      </w:divBdr>
                    </w:div>
                  </w:divsChild>
                </w:div>
                <w:div w:id="1517232512">
                  <w:marLeft w:val="0"/>
                  <w:marRight w:val="0"/>
                  <w:marTop w:val="0"/>
                  <w:marBottom w:val="0"/>
                  <w:divBdr>
                    <w:top w:val="none" w:sz="0" w:space="0" w:color="auto"/>
                    <w:left w:val="none" w:sz="0" w:space="0" w:color="auto"/>
                    <w:bottom w:val="none" w:sz="0" w:space="0" w:color="auto"/>
                    <w:right w:val="none" w:sz="0" w:space="0" w:color="auto"/>
                  </w:divBdr>
                  <w:divsChild>
                    <w:div w:id="50694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539094">
              <w:marLeft w:val="0"/>
              <w:marRight w:val="0"/>
              <w:marTop w:val="0"/>
              <w:marBottom w:val="0"/>
              <w:divBdr>
                <w:top w:val="none" w:sz="0" w:space="0" w:color="auto"/>
                <w:left w:val="none" w:sz="0" w:space="0" w:color="auto"/>
                <w:bottom w:val="none" w:sz="0" w:space="0" w:color="auto"/>
                <w:right w:val="none" w:sz="0" w:space="0" w:color="auto"/>
              </w:divBdr>
              <w:divsChild>
                <w:div w:id="1461068345">
                  <w:marLeft w:val="0"/>
                  <w:marRight w:val="0"/>
                  <w:marTop w:val="0"/>
                  <w:marBottom w:val="0"/>
                  <w:divBdr>
                    <w:top w:val="none" w:sz="0" w:space="0" w:color="auto"/>
                    <w:left w:val="none" w:sz="0" w:space="0" w:color="auto"/>
                    <w:bottom w:val="none" w:sz="0" w:space="0" w:color="auto"/>
                    <w:right w:val="none" w:sz="0" w:space="0" w:color="auto"/>
                  </w:divBdr>
                  <w:divsChild>
                    <w:div w:id="1264412455">
                      <w:marLeft w:val="0"/>
                      <w:marRight w:val="0"/>
                      <w:marTop w:val="0"/>
                      <w:marBottom w:val="0"/>
                      <w:divBdr>
                        <w:top w:val="none" w:sz="0" w:space="0" w:color="auto"/>
                        <w:left w:val="none" w:sz="0" w:space="0" w:color="auto"/>
                        <w:bottom w:val="none" w:sz="0" w:space="0" w:color="auto"/>
                        <w:right w:val="none" w:sz="0" w:space="0" w:color="auto"/>
                      </w:divBdr>
                    </w:div>
                  </w:divsChild>
                </w:div>
                <w:div w:id="340931680">
                  <w:marLeft w:val="0"/>
                  <w:marRight w:val="0"/>
                  <w:marTop w:val="0"/>
                  <w:marBottom w:val="0"/>
                  <w:divBdr>
                    <w:top w:val="none" w:sz="0" w:space="0" w:color="auto"/>
                    <w:left w:val="none" w:sz="0" w:space="0" w:color="auto"/>
                    <w:bottom w:val="none" w:sz="0" w:space="0" w:color="auto"/>
                    <w:right w:val="none" w:sz="0" w:space="0" w:color="auto"/>
                  </w:divBdr>
                  <w:divsChild>
                    <w:div w:id="2116049460">
                      <w:marLeft w:val="0"/>
                      <w:marRight w:val="0"/>
                      <w:marTop w:val="0"/>
                      <w:marBottom w:val="0"/>
                      <w:divBdr>
                        <w:top w:val="none" w:sz="0" w:space="0" w:color="auto"/>
                        <w:left w:val="none" w:sz="0" w:space="0" w:color="auto"/>
                        <w:bottom w:val="none" w:sz="0" w:space="0" w:color="auto"/>
                        <w:right w:val="none" w:sz="0" w:space="0" w:color="auto"/>
                      </w:divBdr>
                    </w:div>
                  </w:divsChild>
                </w:div>
                <w:div w:id="575360032">
                  <w:marLeft w:val="0"/>
                  <w:marRight w:val="0"/>
                  <w:marTop w:val="0"/>
                  <w:marBottom w:val="0"/>
                  <w:divBdr>
                    <w:top w:val="none" w:sz="0" w:space="0" w:color="auto"/>
                    <w:left w:val="none" w:sz="0" w:space="0" w:color="auto"/>
                    <w:bottom w:val="none" w:sz="0" w:space="0" w:color="auto"/>
                    <w:right w:val="none" w:sz="0" w:space="0" w:color="auto"/>
                  </w:divBdr>
                  <w:divsChild>
                    <w:div w:id="1380015929">
                      <w:marLeft w:val="0"/>
                      <w:marRight w:val="0"/>
                      <w:marTop w:val="0"/>
                      <w:marBottom w:val="0"/>
                      <w:divBdr>
                        <w:top w:val="none" w:sz="0" w:space="0" w:color="auto"/>
                        <w:left w:val="none" w:sz="0" w:space="0" w:color="auto"/>
                        <w:bottom w:val="none" w:sz="0" w:space="0" w:color="auto"/>
                        <w:right w:val="none" w:sz="0" w:space="0" w:color="auto"/>
                      </w:divBdr>
                    </w:div>
                  </w:divsChild>
                </w:div>
                <w:div w:id="598485760">
                  <w:marLeft w:val="0"/>
                  <w:marRight w:val="0"/>
                  <w:marTop w:val="0"/>
                  <w:marBottom w:val="0"/>
                  <w:divBdr>
                    <w:top w:val="none" w:sz="0" w:space="0" w:color="auto"/>
                    <w:left w:val="none" w:sz="0" w:space="0" w:color="auto"/>
                    <w:bottom w:val="none" w:sz="0" w:space="0" w:color="auto"/>
                    <w:right w:val="none" w:sz="0" w:space="0" w:color="auto"/>
                  </w:divBdr>
                  <w:divsChild>
                    <w:div w:id="27537950">
                      <w:marLeft w:val="0"/>
                      <w:marRight w:val="0"/>
                      <w:marTop w:val="0"/>
                      <w:marBottom w:val="0"/>
                      <w:divBdr>
                        <w:top w:val="none" w:sz="0" w:space="0" w:color="auto"/>
                        <w:left w:val="none" w:sz="0" w:space="0" w:color="auto"/>
                        <w:bottom w:val="none" w:sz="0" w:space="0" w:color="auto"/>
                        <w:right w:val="none" w:sz="0" w:space="0" w:color="auto"/>
                      </w:divBdr>
                    </w:div>
                    <w:div w:id="1152866101">
                      <w:marLeft w:val="0"/>
                      <w:marRight w:val="0"/>
                      <w:marTop w:val="0"/>
                      <w:marBottom w:val="0"/>
                      <w:divBdr>
                        <w:top w:val="none" w:sz="0" w:space="0" w:color="auto"/>
                        <w:left w:val="none" w:sz="0" w:space="0" w:color="auto"/>
                        <w:bottom w:val="none" w:sz="0" w:space="0" w:color="auto"/>
                        <w:right w:val="none" w:sz="0" w:space="0" w:color="auto"/>
                      </w:divBdr>
                    </w:div>
                    <w:div w:id="1056783649">
                      <w:marLeft w:val="0"/>
                      <w:marRight w:val="0"/>
                      <w:marTop w:val="0"/>
                      <w:marBottom w:val="0"/>
                      <w:divBdr>
                        <w:top w:val="none" w:sz="0" w:space="0" w:color="auto"/>
                        <w:left w:val="none" w:sz="0" w:space="0" w:color="auto"/>
                        <w:bottom w:val="none" w:sz="0" w:space="0" w:color="auto"/>
                        <w:right w:val="none" w:sz="0" w:space="0" w:color="auto"/>
                      </w:divBdr>
                    </w:div>
                  </w:divsChild>
                </w:div>
                <w:div w:id="786702993">
                  <w:marLeft w:val="0"/>
                  <w:marRight w:val="0"/>
                  <w:marTop w:val="0"/>
                  <w:marBottom w:val="0"/>
                  <w:divBdr>
                    <w:top w:val="none" w:sz="0" w:space="0" w:color="auto"/>
                    <w:left w:val="none" w:sz="0" w:space="0" w:color="auto"/>
                    <w:bottom w:val="none" w:sz="0" w:space="0" w:color="auto"/>
                    <w:right w:val="none" w:sz="0" w:space="0" w:color="auto"/>
                  </w:divBdr>
                  <w:divsChild>
                    <w:div w:id="99780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806942">
      <w:bodyDiv w:val="1"/>
      <w:marLeft w:val="0"/>
      <w:marRight w:val="0"/>
      <w:marTop w:val="0"/>
      <w:marBottom w:val="0"/>
      <w:divBdr>
        <w:top w:val="none" w:sz="0" w:space="0" w:color="auto"/>
        <w:left w:val="none" w:sz="0" w:space="0" w:color="auto"/>
        <w:bottom w:val="none" w:sz="0" w:space="0" w:color="auto"/>
        <w:right w:val="none" w:sz="0" w:space="0" w:color="auto"/>
      </w:divBdr>
      <w:divsChild>
        <w:div w:id="1183009345">
          <w:marLeft w:val="0"/>
          <w:marRight w:val="0"/>
          <w:marTop w:val="0"/>
          <w:marBottom w:val="0"/>
          <w:divBdr>
            <w:top w:val="none" w:sz="0" w:space="0" w:color="auto"/>
            <w:left w:val="none" w:sz="0" w:space="0" w:color="auto"/>
            <w:bottom w:val="none" w:sz="0" w:space="0" w:color="auto"/>
            <w:right w:val="none" w:sz="0" w:space="0" w:color="auto"/>
          </w:divBdr>
        </w:div>
        <w:div w:id="44528160">
          <w:marLeft w:val="0"/>
          <w:marRight w:val="0"/>
          <w:marTop w:val="0"/>
          <w:marBottom w:val="0"/>
          <w:divBdr>
            <w:top w:val="none" w:sz="0" w:space="0" w:color="auto"/>
            <w:left w:val="none" w:sz="0" w:space="0" w:color="auto"/>
            <w:bottom w:val="none" w:sz="0" w:space="0" w:color="auto"/>
            <w:right w:val="none" w:sz="0" w:space="0" w:color="auto"/>
          </w:divBdr>
          <w:divsChild>
            <w:div w:id="1474519385">
              <w:marLeft w:val="0"/>
              <w:marRight w:val="0"/>
              <w:marTop w:val="0"/>
              <w:marBottom w:val="0"/>
              <w:divBdr>
                <w:top w:val="none" w:sz="0" w:space="0" w:color="auto"/>
                <w:left w:val="none" w:sz="0" w:space="0" w:color="auto"/>
                <w:bottom w:val="none" w:sz="0" w:space="0" w:color="auto"/>
                <w:right w:val="none" w:sz="0" w:space="0" w:color="auto"/>
              </w:divBdr>
              <w:divsChild>
                <w:div w:id="342442992">
                  <w:marLeft w:val="0"/>
                  <w:marRight w:val="0"/>
                  <w:marTop w:val="0"/>
                  <w:marBottom w:val="0"/>
                  <w:divBdr>
                    <w:top w:val="none" w:sz="0" w:space="0" w:color="auto"/>
                    <w:left w:val="none" w:sz="0" w:space="0" w:color="auto"/>
                    <w:bottom w:val="none" w:sz="0" w:space="0" w:color="auto"/>
                    <w:right w:val="none" w:sz="0" w:space="0" w:color="auto"/>
                  </w:divBdr>
                  <w:divsChild>
                    <w:div w:id="111189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57128">
              <w:marLeft w:val="0"/>
              <w:marRight w:val="0"/>
              <w:marTop w:val="0"/>
              <w:marBottom w:val="0"/>
              <w:divBdr>
                <w:top w:val="none" w:sz="0" w:space="0" w:color="auto"/>
                <w:left w:val="none" w:sz="0" w:space="0" w:color="auto"/>
                <w:bottom w:val="none" w:sz="0" w:space="0" w:color="auto"/>
                <w:right w:val="none" w:sz="0" w:space="0" w:color="auto"/>
              </w:divBdr>
              <w:divsChild>
                <w:div w:id="951789413">
                  <w:marLeft w:val="0"/>
                  <w:marRight w:val="0"/>
                  <w:marTop w:val="0"/>
                  <w:marBottom w:val="0"/>
                  <w:divBdr>
                    <w:top w:val="none" w:sz="0" w:space="0" w:color="auto"/>
                    <w:left w:val="none" w:sz="0" w:space="0" w:color="auto"/>
                    <w:bottom w:val="none" w:sz="0" w:space="0" w:color="auto"/>
                    <w:right w:val="none" w:sz="0" w:space="0" w:color="auto"/>
                  </w:divBdr>
                  <w:divsChild>
                    <w:div w:id="850219160">
                      <w:marLeft w:val="0"/>
                      <w:marRight w:val="0"/>
                      <w:marTop w:val="0"/>
                      <w:marBottom w:val="0"/>
                      <w:divBdr>
                        <w:top w:val="none" w:sz="0" w:space="0" w:color="auto"/>
                        <w:left w:val="none" w:sz="0" w:space="0" w:color="auto"/>
                        <w:bottom w:val="none" w:sz="0" w:space="0" w:color="auto"/>
                        <w:right w:val="none" w:sz="0" w:space="0" w:color="auto"/>
                      </w:divBdr>
                    </w:div>
                    <w:div w:id="83721906">
                      <w:marLeft w:val="0"/>
                      <w:marRight w:val="0"/>
                      <w:marTop w:val="0"/>
                      <w:marBottom w:val="0"/>
                      <w:divBdr>
                        <w:top w:val="none" w:sz="0" w:space="0" w:color="auto"/>
                        <w:left w:val="none" w:sz="0" w:space="0" w:color="auto"/>
                        <w:bottom w:val="none" w:sz="0" w:space="0" w:color="auto"/>
                        <w:right w:val="none" w:sz="0" w:space="0" w:color="auto"/>
                      </w:divBdr>
                    </w:div>
                    <w:div w:id="397629573">
                      <w:marLeft w:val="0"/>
                      <w:marRight w:val="0"/>
                      <w:marTop w:val="0"/>
                      <w:marBottom w:val="0"/>
                      <w:divBdr>
                        <w:top w:val="none" w:sz="0" w:space="0" w:color="auto"/>
                        <w:left w:val="none" w:sz="0" w:space="0" w:color="auto"/>
                        <w:bottom w:val="none" w:sz="0" w:space="0" w:color="auto"/>
                        <w:right w:val="none" w:sz="0" w:space="0" w:color="auto"/>
                      </w:divBdr>
                    </w:div>
                    <w:div w:id="2105803451">
                      <w:marLeft w:val="0"/>
                      <w:marRight w:val="0"/>
                      <w:marTop w:val="0"/>
                      <w:marBottom w:val="0"/>
                      <w:divBdr>
                        <w:top w:val="none" w:sz="0" w:space="0" w:color="auto"/>
                        <w:left w:val="none" w:sz="0" w:space="0" w:color="auto"/>
                        <w:bottom w:val="none" w:sz="0" w:space="0" w:color="auto"/>
                        <w:right w:val="none" w:sz="0" w:space="0" w:color="auto"/>
                      </w:divBdr>
                    </w:div>
                  </w:divsChild>
                </w:div>
                <w:div w:id="915942605">
                  <w:marLeft w:val="0"/>
                  <w:marRight w:val="0"/>
                  <w:marTop w:val="0"/>
                  <w:marBottom w:val="0"/>
                  <w:divBdr>
                    <w:top w:val="none" w:sz="0" w:space="0" w:color="auto"/>
                    <w:left w:val="none" w:sz="0" w:space="0" w:color="auto"/>
                    <w:bottom w:val="none" w:sz="0" w:space="0" w:color="auto"/>
                    <w:right w:val="none" w:sz="0" w:space="0" w:color="auto"/>
                  </w:divBdr>
                  <w:divsChild>
                    <w:div w:id="1453328044">
                      <w:marLeft w:val="0"/>
                      <w:marRight w:val="0"/>
                      <w:marTop w:val="0"/>
                      <w:marBottom w:val="0"/>
                      <w:divBdr>
                        <w:top w:val="none" w:sz="0" w:space="0" w:color="auto"/>
                        <w:left w:val="none" w:sz="0" w:space="0" w:color="auto"/>
                        <w:bottom w:val="none" w:sz="0" w:space="0" w:color="auto"/>
                        <w:right w:val="none" w:sz="0" w:space="0" w:color="auto"/>
                      </w:divBdr>
                    </w:div>
                    <w:div w:id="2142459217">
                      <w:marLeft w:val="0"/>
                      <w:marRight w:val="0"/>
                      <w:marTop w:val="0"/>
                      <w:marBottom w:val="0"/>
                      <w:divBdr>
                        <w:top w:val="none" w:sz="0" w:space="0" w:color="auto"/>
                        <w:left w:val="none" w:sz="0" w:space="0" w:color="auto"/>
                        <w:bottom w:val="none" w:sz="0" w:space="0" w:color="auto"/>
                        <w:right w:val="none" w:sz="0" w:space="0" w:color="auto"/>
                      </w:divBdr>
                    </w:div>
                  </w:divsChild>
                </w:div>
                <w:div w:id="412359074">
                  <w:marLeft w:val="0"/>
                  <w:marRight w:val="0"/>
                  <w:marTop w:val="0"/>
                  <w:marBottom w:val="0"/>
                  <w:divBdr>
                    <w:top w:val="none" w:sz="0" w:space="0" w:color="auto"/>
                    <w:left w:val="none" w:sz="0" w:space="0" w:color="auto"/>
                    <w:bottom w:val="none" w:sz="0" w:space="0" w:color="auto"/>
                    <w:right w:val="none" w:sz="0" w:space="0" w:color="auto"/>
                  </w:divBdr>
                  <w:divsChild>
                    <w:div w:id="112122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3119">
              <w:marLeft w:val="0"/>
              <w:marRight w:val="0"/>
              <w:marTop w:val="0"/>
              <w:marBottom w:val="0"/>
              <w:divBdr>
                <w:top w:val="none" w:sz="0" w:space="0" w:color="auto"/>
                <w:left w:val="none" w:sz="0" w:space="0" w:color="auto"/>
                <w:bottom w:val="none" w:sz="0" w:space="0" w:color="auto"/>
                <w:right w:val="none" w:sz="0" w:space="0" w:color="auto"/>
              </w:divBdr>
              <w:divsChild>
                <w:div w:id="1985347975">
                  <w:marLeft w:val="0"/>
                  <w:marRight w:val="0"/>
                  <w:marTop w:val="0"/>
                  <w:marBottom w:val="0"/>
                  <w:divBdr>
                    <w:top w:val="none" w:sz="0" w:space="0" w:color="auto"/>
                    <w:left w:val="none" w:sz="0" w:space="0" w:color="auto"/>
                    <w:bottom w:val="none" w:sz="0" w:space="0" w:color="auto"/>
                    <w:right w:val="none" w:sz="0" w:space="0" w:color="auto"/>
                  </w:divBdr>
                  <w:divsChild>
                    <w:div w:id="1966426313">
                      <w:marLeft w:val="0"/>
                      <w:marRight w:val="0"/>
                      <w:marTop w:val="0"/>
                      <w:marBottom w:val="0"/>
                      <w:divBdr>
                        <w:top w:val="none" w:sz="0" w:space="0" w:color="auto"/>
                        <w:left w:val="none" w:sz="0" w:space="0" w:color="auto"/>
                        <w:bottom w:val="none" w:sz="0" w:space="0" w:color="auto"/>
                        <w:right w:val="none" w:sz="0" w:space="0" w:color="auto"/>
                      </w:divBdr>
                    </w:div>
                  </w:divsChild>
                </w:div>
                <w:div w:id="381557916">
                  <w:marLeft w:val="0"/>
                  <w:marRight w:val="0"/>
                  <w:marTop w:val="0"/>
                  <w:marBottom w:val="0"/>
                  <w:divBdr>
                    <w:top w:val="none" w:sz="0" w:space="0" w:color="auto"/>
                    <w:left w:val="none" w:sz="0" w:space="0" w:color="auto"/>
                    <w:bottom w:val="none" w:sz="0" w:space="0" w:color="auto"/>
                    <w:right w:val="none" w:sz="0" w:space="0" w:color="auto"/>
                  </w:divBdr>
                  <w:divsChild>
                    <w:div w:id="840463522">
                      <w:marLeft w:val="0"/>
                      <w:marRight w:val="0"/>
                      <w:marTop w:val="0"/>
                      <w:marBottom w:val="0"/>
                      <w:divBdr>
                        <w:top w:val="none" w:sz="0" w:space="0" w:color="auto"/>
                        <w:left w:val="none" w:sz="0" w:space="0" w:color="auto"/>
                        <w:bottom w:val="none" w:sz="0" w:space="0" w:color="auto"/>
                        <w:right w:val="none" w:sz="0" w:space="0" w:color="auto"/>
                      </w:divBdr>
                    </w:div>
                  </w:divsChild>
                </w:div>
                <w:div w:id="1863279591">
                  <w:marLeft w:val="0"/>
                  <w:marRight w:val="0"/>
                  <w:marTop w:val="0"/>
                  <w:marBottom w:val="0"/>
                  <w:divBdr>
                    <w:top w:val="none" w:sz="0" w:space="0" w:color="auto"/>
                    <w:left w:val="none" w:sz="0" w:space="0" w:color="auto"/>
                    <w:bottom w:val="none" w:sz="0" w:space="0" w:color="auto"/>
                    <w:right w:val="none" w:sz="0" w:space="0" w:color="auto"/>
                  </w:divBdr>
                  <w:divsChild>
                    <w:div w:id="303506417">
                      <w:marLeft w:val="0"/>
                      <w:marRight w:val="0"/>
                      <w:marTop w:val="0"/>
                      <w:marBottom w:val="0"/>
                      <w:divBdr>
                        <w:top w:val="none" w:sz="0" w:space="0" w:color="auto"/>
                        <w:left w:val="none" w:sz="0" w:space="0" w:color="auto"/>
                        <w:bottom w:val="none" w:sz="0" w:space="0" w:color="auto"/>
                        <w:right w:val="none" w:sz="0" w:space="0" w:color="auto"/>
                      </w:divBdr>
                    </w:div>
                  </w:divsChild>
                </w:div>
                <w:div w:id="11104208">
                  <w:marLeft w:val="0"/>
                  <w:marRight w:val="0"/>
                  <w:marTop w:val="0"/>
                  <w:marBottom w:val="0"/>
                  <w:divBdr>
                    <w:top w:val="none" w:sz="0" w:space="0" w:color="auto"/>
                    <w:left w:val="none" w:sz="0" w:space="0" w:color="auto"/>
                    <w:bottom w:val="none" w:sz="0" w:space="0" w:color="auto"/>
                    <w:right w:val="none" w:sz="0" w:space="0" w:color="auto"/>
                  </w:divBdr>
                  <w:divsChild>
                    <w:div w:id="935820903">
                      <w:marLeft w:val="0"/>
                      <w:marRight w:val="0"/>
                      <w:marTop w:val="0"/>
                      <w:marBottom w:val="0"/>
                      <w:divBdr>
                        <w:top w:val="none" w:sz="0" w:space="0" w:color="auto"/>
                        <w:left w:val="none" w:sz="0" w:space="0" w:color="auto"/>
                        <w:bottom w:val="none" w:sz="0" w:space="0" w:color="auto"/>
                        <w:right w:val="none" w:sz="0" w:space="0" w:color="auto"/>
                      </w:divBdr>
                    </w:div>
                    <w:div w:id="1418092109">
                      <w:marLeft w:val="0"/>
                      <w:marRight w:val="0"/>
                      <w:marTop w:val="0"/>
                      <w:marBottom w:val="0"/>
                      <w:divBdr>
                        <w:top w:val="none" w:sz="0" w:space="0" w:color="auto"/>
                        <w:left w:val="none" w:sz="0" w:space="0" w:color="auto"/>
                        <w:bottom w:val="none" w:sz="0" w:space="0" w:color="auto"/>
                        <w:right w:val="none" w:sz="0" w:space="0" w:color="auto"/>
                      </w:divBdr>
                    </w:div>
                    <w:div w:id="1654219296">
                      <w:marLeft w:val="0"/>
                      <w:marRight w:val="0"/>
                      <w:marTop w:val="0"/>
                      <w:marBottom w:val="0"/>
                      <w:divBdr>
                        <w:top w:val="none" w:sz="0" w:space="0" w:color="auto"/>
                        <w:left w:val="none" w:sz="0" w:space="0" w:color="auto"/>
                        <w:bottom w:val="none" w:sz="0" w:space="0" w:color="auto"/>
                        <w:right w:val="none" w:sz="0" w:space="0" w:color="auto"/>
                      </w:divBdr>
                    </w:div>
                  </w:divsChild>
                </w:div>
                <w:div w:id="159153128">
                  <w:marLeft w:val="0"/>
                  <w:marRight w:val="0"/>
                  <w:marTop w:val="0"/>
                  <w:marBottom w:val="0"/>
                  <w:divBdr>
                    <w:top w:val="none" w:sz="0" w:space="0" w:color="auto"/>
                    <w:left w:val="none" w:sz="0" w:space="0" w:color="auto"/>
                    <w:bottom w:val="none" w:sz="0" w:space="0" w:color="auto"/>
                    <w:right w:val="none" w:sz="0" w:space="0" w:color="auto"/>
                  </w:divBdr>
                  <w:divsChild>
                    <w:div w:id="96403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fpaye.grouperf.com/lien_spad/?base=LEGI&amp;orig=REVUE_RF_FH&amp;code=LEGITEXT000006072050&amp;numero=L1226-1&amp;idspad=LEGIARTI000031687748" TargetMode="External"/><Relationship Id="rId13" Type="http://schemas.openxmlformats.org/officeDocument/2006/relationships/hyperlink" Target="https://rfpaye.grouperf.com/lien_spad/?base=LEGI&amp;orig=REVUE_RF_FH&amp;code=LEGITEXT000006072050&amp;numero=L3141-3&amp;idspad=LEGIARTI000033020826" TargetMode="External"/><Relationship Id="rId18" Type="http://schemas.openxmlformats.org/officeDocument/2006/relationships/hyperlink" Target="https://rfpaye.grouperf.com/lien_spad/?base=LEGI&amp;orig=REVUE_RF_FH&amp;code=LEGITEXT000006072050&amp;numero=L3141-19-1&amp;idspad=LEGIARTI000049459071"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rfpaye.grouperf.com/lien_rf/?context=DICO/PAYE&amp;ref_id_doc=20120403141827346" TargetMode="External"/><Relationship Id="rId12" Type="http://schemas.openxmlformats.org/officeDocument/2006/relationships/hyperlink" Target="https://rfpaye.grouperf.com/lien_spad/?base=JURI&amp;orig=REVUE_RF_FH&amp;juridiction=CASS&amp;chambre=SOC.&amp;numero=08-44834&amp;sp=/juri/inca/global/sociale/JURI/TEXT/00/00/22/31/67/JURITEXT000022316717.xml&amp;date=2012-07-03" TargetMode="External"/><Relationship Id="rId17" Type="http://schemas.openxmlformats.org/officeDocument/2006/relationships/hyperlink" Target="https://rfpaye.grouperf.com/lien_spad/?base=JORF&amp;orig=REVUE_RF_FH&amp;date=2024-04-22&amp;numero=2024-364%20&amp;etat_initial=JORFTEXT000049453263&amp;etat_maj=LEGITEXT000049454290" TargetMode="External"/><Relationship Id="rId2" Type="http://schemas.openxmlformats.org/officeDocument/2006/relationships/settings" Target="settings.xml"/><Relationship Id="rId16" Type="http://schemas.openxmlformats.org/officeDocument/2006/relationships/hyperlink" Target="https://rfpaye.grouperf.com/lien_spad/?base=LEGI&amp;orig=REVUE_RF_FH&amp;code=LEGITEXT000006072050&amp;numero=L3141-5&amp;idspad=LEGIARTI000049461613" TargetMode="External"/><Relationship Id="rId20" Type="http://schemas.openxmlformats.org/officeDocument/2006/relationships/hyperlink" Target="https://rfpaye.grouperf.com/lien_rf/?context=DICO/PAYE&amp;ref_id_doc=20130110105346274" TargetMode="External"/><Relationship Id="rId1" Type="http://schemas.openxmlformats.org/officeDocument/2006/relationships/styles" Target="styles.xml"/><Relationship Id="rId6" Type="http://schemas.openxmlformats.org/officeDocument/2006/relationships/hyperlink" Target="https://rfpaye.grouperf.com/lien_spad/?base=LEGI&amp;orig=REVUE_RF_FH&amp;code=LEGITEXT000006073189&amp;numero=L411-2&amp;idspad=LEGIARTI000006743008" TargetMode="External"/><Relationship Id="rId11" Type="http://schemas.openxmlformats.org/officeDocument/2006/relationships/hyperlink" Target="https://rfpaye.grouperf.com/lien_spad/?base=LEGI&amp;orig=REVUE_RF_FH&amp;code=LEGITEXT000006072050&amp;numero=D1226-3&amp;idspad=LEGIARTI000019225874" TargetMode="External"/><Relationship Id="rId5" Type="http://schemas.openxmlformats.org/officeDocument/2006/relationships/hyperlink" Target="https://rfpaye.grouperf.com/lien_spad/?base=JURI&amp;orig=REVUE_RF_FH&amp;juridiction=CASS&amp;chambre=CIV.&amp;numero=22-14592&amp;sp=/juri/cass/global/civile/JURI/TEXT/00/00/49/29/07/JURITEXT000049290761.xml&amp;date=2024-02-29" TargetMode="External"/><Relationship Id="rId15" Type="http://schemas.openxmlformats.org/officeDocument/2006/relationships/hyperlink" Target="https://rfpaye.grouperf.com/lien_spad/?base=JURI&amp;orig=REVUE_RF_FH&amp;juridiction=CASS&amp;chambre=SOC.&amp;numero=22-17638&amp;sp=/juri/cass/global/sociale/JURI/TEXT/00/00/48/08/59/JURITEXT000048085922.xml&amp;date=2023-09-13" TargetMode="External"/><Relationship Id="rId10" Type="http://schemas.openxmlformats.org/officeDocument/2006/relationships/hyperlink" Target="https://rfpaye.grouperf.com/lien_spad/?base=LEGI&amp;orig=REVUE_RF_FH&amp;code=LEGITEXT000006072050&amp;numero=D1226-2&amp;idspad=LEGIARTI000019225871" TargetMode="External"/><Relationship Id="rId19" Type="http://schemas.openxmlformats.org/officeDocument/2006/relationships/hyperlink" Target="https://rfpaye.grouperf.com/lien_spad/?base=LEGI&amp;orig=REVUE_RF_FH&amp;code=LEGITEXT000006072050&amp;numero=L3141-19-2&amp;idspad=LEGIARTI000049459073" TargetMode="External"/><Relationship Id="rId4" Type="http://schemas.openxmlformats.org/officeDocument/2006/relationships/hyperlink" Target="https://rfpaye.grouperf.com/lien_spad/?base=LEGI&amp;orig=REVUE_RF_FH&amp;code=LEGITEXT000006073189&amp;numero=L411-2&amp;idspad=LEGIARTI000006743008" TargetMode="External"/><Relationship Id="rId9" Type="http://schemas.openxmlformats.org/officeDocument/2006/relationships/hyperlink" Target="https://rfpaye.grouperf.com/lien_spad/?base=LEGI&amp;orig=REVUE_RF_FH&amp;code=LEGITEXT000006072050&amp;numero=D1226-1&amp;idspad=LEGIARTI000018537770" TargetMode="External"/><Relationship Id="rId14" Type="http://schemas.openxmlformats.org/officeDocument/2006/relationships/hyperlink" Target="https://rfpaye.grouperf.com/lien_spad/?base=LEGI&amp;orig=REVUE_RF_FH&amp;code=LEGITEXT000006072050&amp;numero=L3141-5&amp;idspad=LEGIARTI000049461613"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1033</Words>
  <Characters>5685</Characters>
  <Application>Microsoft Office Word</Application>
  <DocSecurity>0</DocSecurity>
  <Lines>47</Lines>
  <Paragraphs>13</Paragraphs>
  <ScaleCrop>false</ScaleCrop>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2025-04-18T05:10:00Z</dcterms:created>
  <dcterms:modified xsi:type="dcterms:W3CDTF">2025-04-18T06:53:00Z</dcterms:modified>
</cp:coreProperties>
</file>